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4819"/>
        <w:gridCol w:w="4819"/>
      </w:tblGrid>
      <w:tr>
        <w:tc>
          <w:tcPr>
            <w:tcW w:type="dxa" w:w="1701"/>
          </w:tcPr>
          <w:p>
            <w:r>
              <w:drawing>
                <wp:inline xmlns:a="http://schemas.openxmlformats.org/drawingml/2006/main" xmlns:pic="http://schemas.openxmlformats.org/drawingml/2006/picture">
                  <wp:extent cx="864000" cy="622452"/>
                  <wp:docPr id="1" name="Picture 1"/>
                  <wp:cNvGraphicFramePr>
                    <a:graphicFrameLocks noChangeAspect="1"/>
                  </wp:cNvGraphicFramePr>
                  <a:graphic>
                    <a:graphicData uri="http://schemas.openxmlformats.org/drawingml/2006/picture">
                      <pic:pic>
                        <pic:nvPicPr>
                          <pic:cNvPr id="0" name="_logo_wenow.png"/>
                          <pic:cNvPicPr/>
                        </pic:nvPicPr>
                        <pic:blipFill>
                          <a:blip r:embed="rId9"/>
                          <a:stretch>
                            <a:fillRect/>
                          </a:stretch>
                        </pic:blipFill>
                        <pic:spPr>
                          <a:xfrm>
                            <a:off x="0" y="0"/>
                            <a:ext cx="864000" cy="622452"/>
                          </a:xfrm>
                          <a:prstGeom prst="rect"/>
                        </pic:spPr>
                      </pic:pic>
                    </a:graphicData>
                  </a:graphic>
                </wp:inline>
              </w:drawing>
            </w:r>
          </w:p>
        </w:tc>
        <w:tc>
          <w:tcPr>
            <w:tcW w:type="dxa" w:w="7937"/>
          </w:tcPr>
          <w:p>
            <w:r>
              <w:rPr>
                <w:rFonts w:ascii="Century Gothic" w:hAnsi="Century Gothic"/>
                <w:b/>
                <w:color w:val="00B7A5"/>
                <w:sz w:val="17"/>
              </w:rPr>
              <w:t>MODÈLE DE NOTE INTERNE</w:t>
            </w:r>
          </w:p>
          <w:p>
            <w:r>
              <w:rPr>
                <w:rFonts w:ascii="Century Gothic" w:hAnsi="Century Gothic"/>
                <w:b/>
                <w:color w:val="085C6E"/>
                <w:sz w:val="32"/>
              </w:rPr>
              <w:t>Note interne : usage des véhicules de service</w:t>
            </w:r>
          </w:p>
        </w:tc>
      </w:tr>
    </w:tbl>
    <w:p/>
    <w:tbl>
      <w:tblPr>
        <w:tblW w:type="auto" w:w="0"/>
        <w:tblLook w:firstColumn="1" w:firstRow="1" w:lastColumn="0" w:lastRow="0" w:noHBand="0" w:noVBand="1" w:val="04A0"/>
      </w:tblPr>
      <w:tblGrid>
        <w:gridCol w:w="4819"/>
        <w:gridCol w:w="4819"/>
      </w:tblGrid>
      <w:tr>
        <w:tc>
          <w:tcPr>
            <w:tcW w:type="dxa" w:w="1984"/>
          </w:tcPr>
          <w:p>
            <w:r>
              <w:rPr>
                <w:rFonts w:ascii="Century Gothic" w:hAnsi="Century Gothic"/>
                <w:b/>
                <w:color w:val="085C6E"/>
              </w:rPr>
              <w:t>Émetteur</w:t>
            </w:r>
          </w:p>
        </w:tc>
        <w:tc>
          <w:tcPr>
            <w:tcW w:type="dxa" w:w="7654"/>
          </w:tcPr>
          <w:p>
            <w:r>
              <w:rPr>
                <w:rFonts w:ascii="Century Gothic" w:hAnsi="Century Gothic"/>
                <w:b w:val="0"/>
                <w:color w:val="085C6E"/>
                <w:shd w:val="clear" w:color="auto" w:fill="DDF3EF"/>
              </w:rPr>
              <w:t>[Direction, fonction du signataire]</w:t>
            </w:r>
          </w:p>
        </w:tc>
      </w:tr>
      <w:tr>
        <w:tc>
          <w:tcPr>
            <w:tcW w:type="dxa" w:w="1984"/>
          </w:tcPr>
          <w:p>
            <w:r>
              <w:rPr>
                <w:rFonts w:ascii="Century Gothic" w:hAnsi="Century Gothic"/>
                <w:b/>
                <w:color w:val="085C6E"/>
              </w:rPr>
              <w:t>Destinataires</w:t>
            </w:r>
          </w:p>
        </w:tc>
        <w:tc>
          <w:tcPr>
            <w:tcW w:type="dxa" w:w="7654"/>
          </w:tcPr>
          <w:p>
            <w:r>
              <w:rPr>
                <w:rFonts w:ascii="Century Gothic" w:hAnsi="Century Gothic"/>
                <w:b w:val="0"/>
                <w:color w:val="085C6E"/>
                <w:shd w:val="clear" w:color="auto" w:fill="DDF3EF"/>
              </w:rPr>
              <w:t>[Conducteurs des véhicules de service concernés]</w:t>
            </w:r>
          </w:p>
        </w:tc>
      </w:tr>
      <w:tr>
        <w:tc>
          <w:tcPr>
            <w:tcW w:type="dxa" w:w="1984"/>
          </w:tcPr>
          <w:p>
            <w:r>
              <w:rPr>
                <w:rFonts w:ascii="Century Gothic" w:hAnsi="Century Gothic"/>
                <w:b/>
                <w:color w:val="085C6E"/>
              </w:rPr>
              <w:t>Date</w:t>
            </w:r>
          </w:p>
        </w:tc>
        <w:tc>
          <w:tcPr>
            <w:tcW w:type="dxa" w:w="7654"/>
          </w:tcPr>
          <w:p>
            <w:r>
              <w:rPr>
                <w:rFonts w:ascii="Century Gothic" w:hAnsi="Century Gothic"/>
                <w:b w:val="0"/>
                <w:color w:val="085C6E"/>
                <w:shd w:val="clear" w:color="auto" w:fill="DDF3EF"/>
              </w:rPr>
              <w:t>[JJ/MM/AAAA]</w:t>
            </w:r>
          </w:p>
        </w:tc>
      </w:tr>
      <w:tr>
        <w:tc>
          <w:tcPr>
            <w:tcW w:type="dxa" w:w="1984"/>
          </w:tcPr>
          <w:p>
            <w:r>
              <w:rPr>
                <w:rFonts w:ascii="Century Gothic" w:hAnsi="Century Gothic"/>
                <w:b/>
                <w:color w:val="085C6E"/>
              </w:rPr>
              <w:t>Référence</w:t>
            </w:r>
          </w:p>
        </w:tc>
        <w:tc>
          <w:tcPr>
            <w:tcW w:type="dxa" w:w="7654"/>
          </w:tcPr>
          <w:p>
            <w:r>
              <w:rPr>
                <w:rFonts w:ascii="Century Gothic" w:hAnsi="Century Gothic"/>
                <w:b w:val="0"/>
                <w:color w:val="085C6E"/>
                <w:shd w:val="clear" w:color="auto" w:fill="DDF3EF"/>
              </w:rPr>
              <w:t>[Numéro ou référence interne]</w:t>
            </w:r>
          </w:p>
        </w:tc>
      </w:tr>
    </w:tbl>
    <w:p>
      <w:pPr>
        <w:keepNext/>
        <w:spacing w:before="200"/>
      </w:pPr>
      <w:r>
        <w:rPr>
          <w:rFonts w:ascii="Century Gothic" w:hAnsi="Century Gothic"/>
          <w:b/>
          <w:color w:val="085C6E"/>
          <w:sz w:val="23"/>
        </w:rPr>
        <w:t>1. Objet</w:t>
      </w:r>
    </w:p>
    <w:p>
      <w:r>
        <w:rPr>
          <w:rFonts w:ascii="Century Gothic" w:hAnsi="Century Gothic"/>
          <w:b w:val="0"/>
          <w:color w:val="085C6E"/>
        </w:rPr>
        <w:t xml:space="preserve">La présente note fixe les règles d’usage des véhicules de service de </w:t>
      </w:r>
      <w:r>
        <w:rPr>
          <w:rFonts w:ascii="Century Gothic" w:hAnsi="Century Gothic"/>
          <w:b w:val="0"/>
          <w:color w:val="085C6E"/>
          <w:shd w:val="clear" w:color="auto" w:fill="DDF3EF"/>
        </w:rPr>
        <w:t>[raison sociale]</w:t>
      </w:r>
      <w:r>
        <w:rPr>
          <w:rFonts w:ascii="Century Gothic" w:hAnsi="Century Gothic"/>
          <w:b w:val="0"/>
          <w:color w:val="085C6E"/>
        </w:rPr>
        <w:t>. Elle notifie par écrit à chaque conducteur l’interdiction d’utiliser ces véhicules à titre privé, dans les conditions ci-dessous.</w:t>
      </w:r>
    </w:p>
    <w:p>
      <w:pPr>
        <w:keepNext/>
        <w:spacing w:before="200"/>
      </w:pPr>
      <w:r>
        <w:rPr>
          <w:rFonts w:ascii="Century Gothic" w:hAnsi="Century Gothic"/>
          <w:b/>
          <w:color w:val="085C6E"/>
          <w:sz w:val="23"/>
        </w:rPr>
        <w:t>2. Véhicules et conducteurs concernés</w:t>
      </w:r>
    </w:p>
    <w:p>
      <w:r>
        <w:rPr>
          <w:rFonts w:ascii="Century Gothic" w:hAnsi="Century Gothic"/>
          <w:b w:val="0"/>
          <w:color w:val="085C6E"/>
        </w:rPr>
        <w:t xml:space="preserve">Véhicules : </w:t>
      </w:r>
      <w:r>
        <w:rPr>
          <w:rFonts w:ascii="Century Gothic" w:hAnsi="Century Gothic"/>
          <w:b w:val="0"/>
          <w:color w:val="085C6E"/>
          <w:shd w:val="clear" w:color="auto" w:fill="DDF3EF"/>
        </w:rPr>
        <w:t>[liste ou annexe : immatriculation, modèle, site de rattachement]</w:t>
      </w:r>
      <w:r>
        <w:rPr>
          <w:rFonts w:ascii="Century Gothic" w:hAnsi="Century Gothic"/>
          <w:b w:val="0"/>
          <w:color w:val="085C6E"/>
        </w:rPr>
        <w:t>.</w:t>
      </w:r>
    </w:p>
    <w:p>
      <w:r>
        <w:rPr>
          <w:rFonts w:ascii="Century Gothic" w:hAnsi="Century Gothic"/>
          <w:b w:val="0"/>
          <w:color w:val="085C6E"/>
        </w:rPr>
        <w:t xml:space="preserve">Conducteurs : </w:t>
      </w:r>
      <w:r>
        <w:rPr>
          <w:rFonts w:ascii="Century Gothic" w:hAnsi="Century Gothic"/>
          <w:b w:val="0"/>
          <w:color w:val="085C6E"/>
          <w:shd w:val="clear" w:color="auto" w:fill="DDF3EF"/>
        </w:rPr>
        <w:t>[services, fonctions, ou liste nominative en annexe]</w:t>
      </w:r>
      <w:r>
        <w:rPr>
          <w:rFonts w:ascii="Century Gothic" w:hAnsi="Century Gothic"/>
          <w:b w:val="0"/>
          <w:color w:val="085C6E"/>
        </w:rPr>
        <w:t>.</w:t>
      </w:r>
    </w:p>
    <w:p>
      <w:r>
        <w:rPr>
          <w:rFonts w:ascii="Century Gothic" w:hAnsi="Century Gothic"/>
          <w:b w:val="0"/>
          <w:color w:val="085C6E"/>
        </w:rPr>
        <w:t xml:space="preserve">Les véhicules de fonction attribués nominativement relèvent de </w:t>
      </w:r>
      <w:r>
        <w:rPr>
          <w:rFonts w:ascii="Century Gothic" w:hAnsi="Century Gothic"/>
          <w:b w:val="0"/>
          <w:color w:val="085C6E"/>
          <w:shd w:val="clear" w:color="auto" w:fill="DDF3EF"/>
        </w:rPr>
        <w:t>[document de l’entreprise]</w:t>
      </w:r>
      <w:r>
        <w:rPr>
          <w:rFonts w:ascii="Century Gothic" w:hAnsi="Century Gothic"/>
          <w:b w:val="0"/>
          <w:color w:val="085C6E"/>
        </w:rPr>
        <w:t xml:space="preserve"> et sortent du champ de la présente note.</w:t>
      </w:r>
    </w:p>
    <w:p>
      <w:pPr>
        <w:keepNext/>
        <w:spacing w:before="200"/>
      </w:pPr>
      <w:r>
        <w:rPr>
          <w:rFonts w:ascii="Century Gothic" w:hAnsi="Century Gothic"/>
          <w:b/>
          <w:color w:val="085C6E"/>
          <w:sz w:val="23"/>
        </w:rPr>
        <w:t>3. Interdiction d’usage privé</w:t>
      </w:r>
    </w:p>
    <w:p>
      <w:r>
        <w:rPr>
          <w:rFonts w:ascii="Century Gothic" w:hAnsi="Century Gothic"/>
          <w:b w:val="0"/>
          <w:color w:val="085C6E"/>
        </w:rPr>
        <w:t>Les véhicules de service sont réservés aux déplacements professionnels. Tout usage privé est interdit, notamment :</w:t>
      </w:r>
    </w:p>
    <w:p>
      <w:pPr>
        <w:pStyle w:val="ListBullet"/>
      </w:pPr>
      <w:r>
        <w:rPr>
          <w:rFonts w:ascii="Century Gothic" w:hAnsi="Century Gothic"/>
          <w:b w:val="0"/>
          <w:color w:val="085C6E"/>
        </w:rPr>
        <w:t>pendant le repos hebdomadaire ;</w:t>
      </w:r>
    </w:p>
    <w:p>
      <w:pPr>
        <w:pStyle w:val="ListBullet"/>
      </w:pPr>
      <w:r>
        <w:rPr>
          <w:rFonts w:ascii="Century Gothic" w:hAnsi="Century Gothic"/>
          <w:b w:val="0"/>
          <w:color w:val="085C6E"/>
        </w:rPr>
        <w:t>pendant les congés payés et les autres absences ;</w:t>
      </w:r>
    </w:p>
    <w:p>
      <w:pPr>
        <w:pStyle w:val="ListBullet"/>
      </w:pPr>
      <w:r>
        <w:rPr>
          <w:rFonts w:ascii="Century Gothic" w:hAnsi="Century Gothic"/>
          <w:b w:val="0"/>
          <w:color w:val="085C6E"/>
          <w:shd w:val="clear" w:color="auto" w:fill="DDF3EF"/>
        </w:rPr>
        <w:t>[en dehors des horaires de travail, à préciser]</w:t>
      </w:r>
      <w:r>
        <w:rPr>
          <w:rFonts w:ascii="Century Gothic" w:hAnsi="Century Gothic"/>
          <w:b w:val="0"/>
          <w:color w:val="085C6E"/>
        </w:rPr>
        <w:t>.</w:t>
      </w:r>
    </w:p>
    <w:p>
      <w:r>
        <w:rPr>
          <w:rFonts w:ascii="Century Gothic" w:hAnsi="Century Gothic"/>
          <w:b w:val="0"/>
          <w:color w:val="085C6E"/>
        </w:rPr>
        <w:t xml:space="preserve">Trajets entre le domicile et le lieu de travail : </w:t>
      </w:r>
      <w:r>
        <w:rPr>
          <w:rFonts w:ascii="Century Gothic" w:hAnsi="Century Gothic"/>
          <w:b w:val="0"/>
          <w:color w:val="085C6E"/>
          <w:shd w:val="clear" w:color="auto" w:fill="DDF3EF"/>
        </w:rPr>
        <w:t>[règle de l’entreprise : interdits, ou admis dans les seuls cas listés ici, à compléter]</w:t>
      </w:r>
      <w:r>
        <w:rPr>
          <w:rFonts w:ascii="Century Gothic" w:hAnsi="Century Gothic"/>
          <w:b w:val="0"/>
          <w:color w:val="085C6E"/>
        </w:rPr>
        <w:t>. Cette règle et le traitement de ces trajets sont à arrêter avec votre conseil avant la diffusion de la note, y compris pour les exceptions du point 5.</w:t>
      </w:r>
    </w:p>
    <w:p>
      <w:pPr>
        <w:keepNext/>
        <w:spacing w:before="200"/>
      </w:pPr>
      <w:r>
        <w:rPr>
          <w:rFonts w:ascii="Century Gothic" w:hAnsi="Century Gothic"/>
          <w:b/>
          <w:color w:val="085C6E"/>
          <w:sz w:val="23"/>
        </w:rPr>
        <w:t>4. Remisage</w:t>
      </w:r>
    </w:p>
    <w:p>
      <w:r>
        <w:rPr>
          <w:rFonts w:ascii="Century Gothic" w:hAnsi="Century Gothic"/>
          <w:b w:val="0"/>
          <w:color w:val="085C6E"/>
        </w:rPr>
        <w:t xml:space="preserve">En dehors du temps de travail, le véhicule est remisé </w:t>
      </w:r>
      <w:r>
        <w:rPr>
          <w:rFonts w:ascii="Century Gothic" w:hAnsi="Century Gothic"/>
          <w:b w:val="0"/>
          <w:color w:val="085C6E"/>
          <w:shd w:val="clear" w:color="auto" w:fill="DDF3EF"/>
        </w:rPr>
        <w:t>[sur le site de rattachement, adresse à compléter]</w:t>
      </w:r>
      <w:r>
        <w:rPr>
          <w:rFonts w:ascii="Century Gothic" w:hAnsi="Century Gothic"/>
          <w:b w:val="0"/>
          <w:color w:val="085C6E"/>
        </w:rPr>
        <w:t xml:space="preserve">. Les clés et la carte de carburant ou de recharge sont </w:t>
      </w:r>
      <w:r>
        <w:rPr>
          <w:rFonts w:ascii="Century Gothic" w:hAnsi="Century Gothic"/>
          <w:b w:val="0"/>
          <w:color w:val="085C6E"/>
          <w:shd w:val="clear" w:color="auto" w:fill="DDF3EF"/>
        </w:rPr>
        <w:t>[déposées à l’endroit désigné, à compléter]</w:t>
      </w:r>
      <w:r>
        <w:rPr>
          <w:rFonts w:ascii="Century Gothic" w:hAnsi="Century Gothic"/>
          <w:b w:val="0"/>
          <w:color w:val="085C6E"/>
        </w:rPr>
        <w:t>.</w:t>
      </w:r>
    </w:p>
    <w:p>
      <w:r>
        <w:rPr>
          <w:rFonts w:ascii="Century Gothic" w:hAnsi="Century Gothic"/>
          <w:b w:val="0"/>
          <w:color w:val="085C6E"/>
        </w:rPr>
        <w:t xml:space="preserve">Pendant le repos hebdomadaire et les congés, le véhicule est restitué </w:t>
      </w:r>
      <w:r>
        <w:rPr>
          <w:rFonts w:ascii="Century Gothic" w:hAnsi="Century Gothic"/>
          <w:b w:val="0"/>
          <w:color w:val="085C6E"/>
          <w:shd w:val="clear" w:color="auto" w:fill="DDF3EF"/>
        </w:rPr>
        <w:t>[au site de rattachement, ou autre lieu désigné]</w:t>
      </w:r>
      <w:r>
        <w:rPr>
          <w:rFonts w:ascii="Century Gothic" w:hAnsi="Century Gothic"/>
          <w:b w:val="0"/>
          <w:color w:val="085C6E"/>
        </w:rPr>
        <w:t>.</w:t>
      </w:r>
    </w:p>
    <w:p>
      <w:pPr>
        <w:keepNext/>
        <w:spacing w:before="200"/>
      </w:pPr>
      <w:r>
        <w:rPr>
          <w:rFonts w:ascii="Century Gothic" w:hAnsi="Century Gothic"/>
          <w:b/>
          <w:color w:val="085C6E"/>
          <w:sz w:val="23"/>
        </w:rPr>
        <w:t>5. Exceptions</w:t>
      </w:r>
    </w:p>
    <w:p>
      <w:r>
        <w:rPr>
          <w:rFonts w:ascii="Century Gothic" w:hAnsi="Century Gothic"/>
          <w:b w:val="0"/>
          <w:color w:val="085C6E"/>
        </w:rPr>
        <w:t xml:space="preserve">Toute exception est écrite, préalable et limitée dans le temps : </w:t>
      </w:r>
      <w:r>
        <w:rPr>
          <w:rFonts w:ascii="Century Gothic" w:hAnsi="Century Gothic"/>
          <w:b w:val="0"/>
          <w:color w:val="085C6E"/>
          <w:shd w:val="clear" w:color="auto" w:fill="DDF3EF"/>
        </w:rPr>
        <w:t>[astreinte, déplacement professionnel tôt le lendemain, autre cas à préciser]</w:t>
      </w:r>
      <w:r>
        <w:rPr>
          <w:rFonts w:ascii="Century Gothic" w:hAnsi="Century Gothic"/>
          <w:b w:val="0"/>
          <w:color w:val="085C6E"/>
        </w:rPr>
        <w:t xml:space="preserve">. Elle est accordée par </w:t>
      </w:r>
      <w:r>
        <w:rPr>
          <w:rFonts w:ascii="Century Gothic" w:hAnsi="Century Gothic"/>
          <w:b w:val="0"/>
          <w:color w:val="085C6E"/>
          <w:shd w:val="clear" w:color="auto" w:fill="DDF3EF"/>
        </w:rPr>
        <w:t>[fonction]</w:t>
      </w:r>
      <w:r>
        <w:rPr>
          <w:rFonts w:ascii="Century Gothic" w:hAnsi="Century Gothic"/>
          <w:b w:val="0"/>
          <w:color w:val="085C6E"/>
        </w:rPr>
        <w:t xml:space="preserve"> et précise le véhicule, le conducteur, la période et le motif.</w:t>
      </w:r>
    </w:p>
    <w:p>
      <w:r>
        <w:rPr>
          <w:rFonts w:ascii="Century Gothic" w:hAnsi="Century Gothic"/>
          <w:b w:val="0"/>
          <w:color w:val="085C6E"/>
        </w:rPr>
        <w:t>Le remisage au domicile accordé dans ce cadre ne vaut pas autorisation d’usage privé.</w:t>
      </w:r>
    </w:p>
    <w:p>
      <w:pPr>
        <w:keepNext/>
        <w:spacing w:before="200"/>
      </w:pPr>
      <w:r>
        <w:rPr>
          <w:rFonts w:ascii="Century Gothic" w:hAnsi="Century Gothic"/>
          <w:b/>
          <w:color w:val="085C6E"/>
          <w:sz w:val="23"/>
        </w:rPr>
        <w:t>6. Conservation des preuves</w:t>
      </w:r>
    </w:p>
    <w:p>
      <w:r>
        <w:rPr>
          <w:rFonts w:ascii="Century Gothic" w:hAnsi="Century Gothic"/>
          <w:b w:val="0"/>
          <w:color w:val="085C6E"/>
        </w:rPr>
        <w:t>L’entreprise conserve les éléments qui montrent l’application de la règle, véhicule par véhicule et sur la période :</w:t>
      </w:r>
    </w:p>
    <w:p>
      <w:pPr>
        <w:pStyle w:val="ListBullet"/>
      </w:pPr>
      <w:r>
        <w:rPr>
          <w:rFonts w:ascii="Century Gothic" w:hAnsi="Century Gothic"/>
          <w:b w:val="0"/>
          <w:color w:val="085C6E"/>
        </w:rPr>
        <w:t>la présente note et la preuve de sa remise à chaque conducteur ;</w:t>
      </w:r>
    </w:p>
    <w:p>
      <w:pPr>
        <w:pStyle w:val="ListBullet"/>
      </w:pPr>
      <w:r>
        <w:rPr>
          <w:rFonts w:ascii="Century Gothic" w:hAnsi="Century Gothic"/>
          <w:b w:val="0"/>
          <w:color w:val="085C6E"/>
        </w:rPr>
        <w:t>les exceptions accordées ;</w:t>
      </w:r>
    </w:p>
    <w:p>
      <w:pPr>
        <w:pStyle w:val="ListBullet"/>
      </w:pPr>
      <w:r>
        <w:rPr>
          <w:rFonts w:ascii="Century Gothic" w:hAnsi="Century Gothic"/>
          <w:b w:val="0"/>
          <w:color w:val="085C6E"/>
          <w:shd w:val="clear" w:color="auto" w:fill="DDF3EF"/>
        </w:rPr>
        <w:t>[le registre de remisage ou de restitution des clés, s’il est tenu]</w:t>
      </w:r>
      <w:r>
        <w:rPr>
          <w:rFonts w:ascii="Century Gothic" w:hAnsi="Century Gothic"/>
          <w:b w:val="0"/>
          <w:color w:val="085C6E"/>
        </w:rPr>
        <w:t xml:space="preserve"> ;</w:t>
      </w:r>
    </w:p>
    <w:p>
      <w:pPr>
        <w:pStyle w:val="ListBullet"/>
      </w:pPr>
      <w:r>
        <w:rPr>
          <w:rFonts w:ascii="Century Gothic" w:hAnsi="Century Gothic"/>
          <w:b w:val="0"/>
          <w:color w:val="085C6E"/>
        </w:rPr>
        <w:t>l’export mensuel du carnet de bord numérique, par conducteur et par véhicule, qui distingue les distances professionnelles et personnelles.</w:t>
      </w:r>
    </w:p>
    <w:p>
      <w:r>
        <w:rPr>
          <w:rFonts w:ascii="Century Gothic" w:hAnsi="Century Gothic"/>
          <w:b w:val="0"/>
          <w:color w:val="085C6E"/>
        </w:rPr>
        <w:t xml:space="preserve">Cet export n’est un élément de preuve qu’à deux conditions, toutes deux nécessaires : le mode privé est désactivé, dans le véhicule comme dans l’application, et les données de trajets couvrent toute la période. Chaque conducteur maintient donc le mode privé désactivé pendant toute la durée d’usage du véhicule de service ; s’il le trouve activé, ou s’il en est informé, il le désactive selon </w:t>
      </w:r>
      <w:r>
        <w:rPr>
          <w:rFonts w:ascii="Century Gothic" w:hAnsi="Century Gothic"/>
          <w:b w:val="0"/>
          <w:color w:val="085C6E"/>
          <w:shd w:val="clear" w:color="auto" w:fill="DDF3EF"/>
        </w:rPr>
        <w:t>[la marche à suivre remise par l’entreprise pour son véhicule]</w:t>
      </w:r>
      <w:r>
        <w:rPr>
          <w:rFonts w:ascii="Century Gothic" w:hAnsi="Century Gothic"/>
          <w:b w:val="0"/>
          <w:color w:val="085C6E"/>
        </w:rPr>
        <w:t xml:space="preserve"> et en informe </w:t>
      </w:r>
      <w:r>
        <w:rPr>
          <w:rFonts w:ascii="Century Gothic" w:hAnsi="Century Gothic"/>
          <w:b w:val="0"/>
          <w:color w:val="085C6E"/>
          <w:shd w:val="clear" w:color="auto" w:fill="DDF3EF"/>
        </w:rPr>
        <w:t>[fonction à compléter]</w:t>
      </w:r>
      <w:r>
        <w:rPr>
          <w:rFonts w:ascii="Century Gothic" w:hAnsi="Century Gothic"/>
          <w:b w:val="0"/>
          <w:color w:val="085C6E"/>
        </w:rPr>
        <w:t>. Sur ce socle, une distance personnelle nulle est un élément daté du respect de l’interdiction. En l’absence de données sur une période, le carnet ne prouve rien pour cette période.</w:t>
      </w:r>
    </w:p>
    <w:p>
      <w:r>
        <w:rPr>
          <w:rFonts w:ascii="Century Gothic" w:hAnsi="Century Gothic"/>
          <w:b w:val="0"/>
          <w:color w:val="085C6E"/>
        </w:rPr>
        <w:t xml:space="preserve">Durée de conservation : </w:t>
      </w:r>
      <w:r>
        <w:rPr>
          <w:rFonts w:ascii="Century Gothic" w:hAnsi="Century Gothic"/>
          <w:b w:val="0"/>
          <w:color w:val="085C6E"/>
          <w:shd w:val="clear" w:color="auto" w:fill="DDF3EF"/>
        </w:rPr>
        <w:t>[à fixer avec votre conseil]</w:t>
      </w:r>
      <w:r>
        <w:rPr>
          <w:rFonts w:ascii="Century Gothic" w:hAnsi="Century Gothic"/>
          <w:b w:val="0"/>
          <w:color w:val="085C6E"/>
        </w:rPr>
        <w:t>.</w:t>
      </w:r>
    </w:p>
    <w:p>
      <w:pPr>
        <w:keepNext/>
        <w:spacing w:before="200"/>
      </w:pPr>
      <w:r>
        <w:rPr>
          <w:rFonts w:ascii="Century Gothic" w:hAnsi="Century Gothic"/>
          <w:b/>
          <w:color w:val="085C6E"/>
          <w:sz w:val="23"/>
        </w:rPr>
        <w:t>7. Information des salariés et consultation du CSE</w:t>
      </w:r>
    </w:p>
    <w:p>
      <w:r>
        <w:rPr>
          <w:rFonts w:ascii="Century Gothic" w:hAnsi="Century Gothic"/>
          <w:b w:val="0"/>
          <w:color w:val="085C6E"/>
        </w:rPr>
        <w:t>Chaque conducteur concerné reçoit la présente note avant son application. Il est informé au préalable du dispositif de carnet de bord numérique : sa finalité, les données traitées, leurs destinataires, leur durée de conservation et ses droits.</w:t>
      </w:r>
    </w:p>
    <w:p>
      <w:r>
        <w:rPr>
          <w:rFonts w:ascii="Century Gothic" w:hAnsi="Century Gothic"/>
          <w:b w:val="0"/>
          <w:color w:val="085C6E"/>
        </w:rPr>
        <w:t>L’entreprise ne voit ni les trajets ni leurs points de départ et d’arrivée : elle reçoit chaque mois un export agrégé par conducteur et par véhicule, avec les distances totales, professionnelles et personnelles. Le détail des trajets n’est produit par le prestataire du carnet de bord qu’en cas de contrôle de l’Urssaf, sur demande de l’employeur. Elle suit aussi, dans le tableau de bord ou à l’export, le pourcentage de trajets vérifiés par chaque conducteur : ce taux fiabilise la vérification des trajets par le conducteur.</w:t>
      </w:r>
    </w:p>
    <w:p>
      <w:r>
        <w:rPr>
          <w:rFonts w:ascii="Century Gothic" w:hAnsi="Century Gothic"/>
          <w:b w:val="0"/>
          <w:color w:val="085C6E"/>
          <w:shd w:val="clear" w:color="auto" w:fill="DDF3EF"/>
        </w:rPr>
        <w:t>[Entreprise d’au moins 50 salariés]</w:t>
      </w:r>
      <w:r>
        <w:rPr>
          <w:rFonts w:ascii="Century Gothic" w:hAnsi="Century Gothic"/>
          <w:b w:val="0"/>
          <w:color w:val="085C6E"/>
        </w:rPr>
        <w:t xml:space="preserve"> Le CSE a été informé et consulté pour avis avant la décision de déployer le dispositif, le </w:t>
      </w:r>
      <w:r>
        <w:rPr>
          <w:rFonts w:ascii="Century Gothic" w:hAnsi="Century Gothic"/>
          <w:b w:val="0"/>
          <w:color w:val="085C6E"/>
          <w:shd w:val="clear" w:color="auto" w:fill="DDF3EF"/>
        </w:rPr>
        <w:t>[JJ/MM/AAAA]</w:t>
      </w:r>
      <w:r>
        <w:rPr>
          <w:rFonts w:ascii="Century Gothic" w:hAnsi="Century Gothic"/>
          <w:b w:val="0"/>
          <w:color w:val="085C6E"/>
        </w:rPr>
        <w:t>.</w:t>
      </w:r>
    </w:p>
    <w:p>
      <w:pPr>
        <w:keepNext/>
        <w:spacing w:before="200"/>
      </w:pPr>
      <w:r>
        <w:rPr>
          <w:rFonts w:ascii="Century Gothic" w:hAnsi="Century Gothic"/>
          <w:b/>
          <w:color w:val="085C6E"/>
          <w:sz w:val="23"/>
        </w:rPr>
        <w:t>8. Entrée en vigueur</w:t>
      </w:r>
    </w:p>
    <w:p>
      <w:r>
        <w:rPr>
          <w:rFonts w:ascii="Century Gothic" w:hAnsi="Century Gothic"/>
          <w:b w:val="0"/>
          <w:color w:val="085C6E"/>
        </w:rPr>
        <w:t xml:space="preserve">La présente note s’applique à compter du </w:t>
      </w:r>
      <w:r>
        <w:rPr>
          <w:rFonts w:ascii="Century Gothic" w:hAnsi="Century Gothic"/>
          <w:b w:val="0"/>
          <w:color w:val="085C6E"/>
          <w:shd w:val="clear" w:color="auto" w:fill="DDF3EF"/>
        </w:rPr>
        <w:t>[JJ/MM/AAAA]</w:t>
      </w:r>
      <w:r>
        <w:rPr>
          <w:rFonts w:ascii="Century Gothic" w:hAnsi="Century Gothic"/>
          <w:b w:val="0"/>
          <w:color w:val="085C6E"/>
        </w:rPr>
        <w:t xml:space="preserve">. </w:t>
      </w:r>
      <w:r>
        <w:rPr>
          <w:rFonts w:ascii="Century Gothic" w:hAnsi="Century Gothic"/>
          <w:b w:val="0"/>
          <w:color w:val="085C6E"/>
          <w:shd w:val="clear" w:color="auto" w:fill="DDF3EF"/>
        </w:rPr>
        <w:t>[Formalités préalables à son entrée en vigueur, à vérifier avec votre conseil : une note qui fixe des règles générales et permanentes, assorties de suites disciplinaires, peut compléter le règlement intérieur et suivre la même procédure.]</w:t>
      </w:r>
      <w:r>
        <w:rPr>
          <w:rFonts w:ascii="Century Gothic" w:hAnsi="Century Gothic"/>
          <w:b w:val="0"/>
          <w:color w:val="085C6E"/>
        </w:rPr>
        <w:t xml:space="preserve"> Le non-respect de ses règles peut donner lieu aux suites prévues par </w:t>
      </w:r>
      <w:r>
        <w:rPr>
          <w:rFonts w:ascii="Century Gothic" w:hAnsi="Century Gothic"/>
          <w:b w:val="0"/>
          <w:color w:val="085C6E"/>
          <w:shd w:val="clear" w:color="auto" w:fill="DDF3EF"/>
        </w:rPr>
        <w:t>[le règlement intérieur, à compléter avec votre conseil]</w:t>
      </w:r>
      <w:r>
        <w:rPr>
          <w:rFonts w:ascii="Century Gothic" w:hAnsi="Century Gothic"/>
          <w:b w:val="0"/>
          <w:color w:val="085C6E"/>
        </w:rPr>
        <w:t>.</w:t>
      </w:r>
    </w:p>
    <w:p>
      <w:pPr>
        <w:spacing w:before="240"/>
      </w:pPr>
    </w:p>
    <w:tbl>
      <w:tblPr>
        <w:tblW w:type="auto" w:w="0"/>
        <w:tblLook w:firstColumn="1" w:firstRow="1" w:lastColumn="0" w:lastRow="0" w:noHBand="0" w:noVBand="1" w:val="04A0"/>
      </w:tblPr>
      <w:tblGrid>
        <w:gridCol w:w="4819"/>
        <w:gridCol w:w="4819"/>
      </w:tblGrid>
      <w:tr>
        <w:tc>
          <w:tcPr>
            <w:tcW w:type="dxa" w:w="4819"/>
          </w:tcPr>
          <w:p>
            <w:r>
              <w:rPr>
                <w:rFonts w:ascii="Century Gothic" w:hAnsi="Century Gothic"/>
                <w:b/>
                <w:color w:val="085C6E"/>
              </w:rPr>
              <w:t>Pour l’entreprise</w:t>
            </w:r>
          </w:p>
          <w:p>
            <w:r>
              <w:rPr>
                <w:rFonts w:ascii="Century Gothic" w:hAnsi="Century Gothic"/>
                <w:b w:val="0"/>
                <w:color w:val="085C6E"/>
              </w:rPr>
              <w:t xml:space="preserve">Fait à </w:t>
            </w:r>
            <w:r>
              <w:rPr>
                <w:rFonts w:ascii="Century Gothic" w:hAnsi="Century Gothic"/>
                <w:b w:val="0"/>
                <w:color w:val="085C6E"/>
                <w:shd w:val="clear" w:color="auto" w:fill="DDF3EF"/>
              </w:rPr>
              <w:t>[ville]</w:t>
            </w:r>
            <w:r>
              <w:rPr>
                <w:rFonts w:ascii="Century Gothic" w:hAnsi="Century Gothic"/>
                <w:b w:val="0"/>
                <w:color w:val="085C6E"/>
              </w:rPr>
              <w:t xml:space="preserve">, le </w:t>
            </w:r>
            <w:r>
              <w:rPr>
                <w:rFonts w:ascii="Century Gothic" w:hAnsi="Century Gothic"/>
                <w:b w:val="0"/>
                <w:color w:val="085C6E"/>
                <w:shd w:val="clear" w:color="auto" w:fill="DDF3EF"/>
              </w:rPr>
              <w:t>[JJ/MM/AAAA]</w:t>
            </w:r>
          </w:p>
          <w:p>
            <w:r>
              <w:rPr>
                <w:rFonts w:ascii="Century Gothic" w:hAnsi="Century Gothic"/>
                <w:b w:val="0"/>
                <w:color w:val="085C6E"/>
                <w:shd w:val="clear" w:color="auto" w:fill="DDF3EF"/>
              </w:rPr>
              <w:t>[Nom, prénom, fonction]</w:t>
            </w:r>
          </w:p>
          <w:p>
            <w:r>
              <w:rPr>
                <w:rFonts w:ascii="Century Gothic" w:hAnsi="Century Gothic"/>
                <w:b w:val="0"/>
                <w:color w:val="085C6E"/>
              </w:rPr>
              <w:t>Signature :</w:t>
            </w:r>
          </w:p>
          <w:p/>
          <w:p/>
        </w:tc>
        <w:tc>
          <w:tcPr>
            <w:tcW w:type="dxa" w:w="4819"/>
          </w:tcPr>
          <w:p>
            <w:r>
              <w:rPr>
                <w:rFonts w:ascii="Century Gothic" w:hAnsi="Century Gothic"/>
                <w:b/>
                <w:color w:val="085C6E"/>
              </w:rPr>
              <w:t>Accusé de réception du conducteur</w:t>
            </w:r>
          </w:p>
          <w:p>
            <w:r>
              <w:rPr>
                <w:rFonts w:ascii="Century Gothic" w:hAnsi="Century Gothic"/>
                <w:b w:val="0"/>
                <w:color w:val="085C6E"/>
              </w:rPr>
              <w:t xml:space="preserve">Je soussigné(e) </w:t>
            </w:r>
            <w:r>
              <w:rPr>
                <w:rFonts w:ascii="Century Gothic" w:hAnsi="Century Gothic"/>
                <w:b w:val="0"/>
                <w:color w:val="085C6E"/>
                <w:shd w:val="clear" w:color="auto" w:fill="DDF3EF"/>
              </w:rPr>
              <w:t>[nom, prénom]</w:t>
            </w:r>
            <w:r>
              <w:rPr>
                <w:rFonts w:ascii="Century Gothic" w:hAnsi="Century Gothic"/>
                <w:b w:val="0"/>
                <w:color w:val="085C6E"/>
              </w:rPr>
              <w:t xml:space="preserve">, conducteur du véhicule </w:t>
            </w:r>
            <w:r>
              <w:rPr>
                <w:rFonts w:ascii="Century Gothic" w:hAnsi="Century Gothic"/>
                <w:b w:val="0"/>
                <w:color w:val="085C6E"/>
                <w:shd w:val="clear" w:color="auto" w:fill="DDF3EF"/>
              </w:rPr>
              <w:t>[immatriculation]</w:t>
            </w:r>
            <w:r>
              <w:rPr>
                <w:rFonts w:ascii="Century Gothic" w:hAnsi="Century Gothic"/>
                <w:b w:val="0"/>
                <w:color w:val="085C6E"/>
              </w:rPr>
              <w:t>, déclare avoir reçu la présente note et en avoir pris connaissance.</w:t>
            </w:r>
          </w:p>
          <w:p>
            <w:r>
              <w:rPr>
                <w:rFonts w:ascii="Century Gothic" w:hAnsi="Century Gothic"/>
                <w:b w:val="0"/>
                <w:color w:val="085C6E"/>
              </w:rPr>
              <w:t xml:space="preserve">Le </w:t>
            </w:r>
            <w:r>
              <w:rPr>
                <w:rFonts w:ascii="Century Gothic" w:hAnsi="Century Gothic"/>
                <w:b w:val="0"/>
                <w:color w:val="085C6E"/>
                <w:shd w:val="clear" w:color="auto" w:fill="DDF3EF"/>
              </w:rPr>
              <w:t>[JJ/MM/AAAA]</w:t>
            </w:r>
          </w:p>
          <w:p>
            <w:r>
              <w:rPr>
                <w:rFonts w:ascii="Century Gothic" w:hAnsi="Century Gothic"/>
                <w:b w:val="0"/>
                <w:color w:val="085C6E"/>
              </w:rPr>
              <w:t>Signature :</w:t>
            </w:r>
          </w:p>
          <w:p/>
          <w:p/>
        </w:tc>
      </w:tr>
    </w:tbl>
    <w:sectPr w:rsidR="00FC693F" w:rsidRPr="0006063C" w:rsidSect="00034616">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Century Gothic" w:hAnsi="Century Gothic"/>
        <w:b w:val="0"/>
        <w:color w:val="085C6E"/>
        <w:sz w:val="15"/>
      </w:rPr>
      <w:t>Modèle indicatif proposé par WeNow. Il ne constitue pas une consultation juridique : à adapter avec votre conseil à la situation de votre entreprise. Mention à retirer de la note diffusée. www.wenow.com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Century Gothic" w:hAnsi="Century Gothic" w:eastAsia="Century Gothic"/>
      <w:color w:val="085C6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interne : usage des véhicules de service</dc:title>
  <dc:subject>Modèle indicatif de note interne</dc:subject>
  <dc:creator>WeNow</dc:creator>
  <cp:keywords/>
  <dc:description/>
  <cp:lastModifiedBy>WeNow</cp:lastModifiedBy>
  <cp:revision>1</cp:revision>
  <dcterms:created xsi:type="dcterms:W3CDTF">2026-10-19T21:51:47Z</dcterms:created>
  <dcterms:modified xsi:type="dcterms:W3CDTF">2026-10-19T21:51:47Z</dcterms:modified>
  <cp:category/>
</cp:coreProperties>
</file>